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Ind w:w="8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32"/>
        <w:gridCol w:w="3968"/>
        <w:gridCol w:w="1703"/>
        <w:gridCol w:w="1276"/>
        <w:gridCol w:w="1285"/>
      </w:tblGrid>
      <w:tr w:rsidR="00A24187" w:rsidRPr="00A551A7">
        <w:trPr>
          <w:trHeight w:val="595"/>
        </w:trPr>
        <w:tc>
          <w:tcPr>
            <w:tcW w:w="9654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24187" w:rsidRPr="00A551A7" w:rsidRDefault="00A551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 w:rsidRPr="00A551A7">
              <w:rPr>
                <w:sz w:val="22"/>
                <w:szCs w:val="22"/>
                <w:lang w:val="en-US"/>
              </w:rPr>
              <w:t>A</w:t>
            </w:r>
            <w:r w:rsidRPr="00A551A7">
              <w:rPr>
                <w:sz w:val="22"/>
                <w:szCs w:val="22"/>
                <w:lang w:val="en-US"/>
              </w:rPr>
              <w:t xml:space="preserve">ppendix 1 </w:t>
            </w:r>
          </w:p>
          <w:p w:rsidR="00A24187" w:rsidRPr="00A551A7" w:rsidRDefault="00A551A7">
            <w:pPr>
              <w:ind w:left="4680"/>
              <w:rPr>
                <w:lang w:val="en-US"/>
              </w:rPr>
            </w:pPr>
            <w:r w:rsidRPr="00A551A7">
              <w:rPr>
                <w:sz w:val="22"/>
                <w:szCs w:val="22"/>
                <w:lang w:val="en-US"/>
              </w:rPr>
              <w:t>APPROVED</w:t>
            </w:r>
          </w:p>
          <w:p w:rsidR="00A24187" w:rsidRPr="00A551A7" w:rsidRDefault="00A551A7">
            <w:pPr>
              <w:ind w:left="4680"/>
              <w:rPr>
                <w:lang w:val="en-US"/>
              </w:rPr>
            </w:pPr>
            <w:r w:rsidRPr="00A551A7">
              <w:rPr>
                <w:sz w:val="22"/>
                <w:szCs w:val="22"/>
                <w:lang w:val="en-US"/>
              </w:rPr>
              <w:t xml:space="preserve"> by Order No. 69 Brest Zonal CGIEC March </w:t>
            </w:r>
          </w:p>
          <w:p w:rsidR="00A24187" w:rsidRPr="00A551A7" w:rsidRDefault="00A551A7">
            <w:pPr>
              <w:ind w:left="4680"/>
              <w:rPr>
                <w:lang w:val="en-US"/>
              </w:rPr>
            </w:pPr>
            <w:r w:rsidRPr="00A551A7">
              <w:rPr>
                <w:sz w:val="22"/>
                <w:szCs w:val="22"/>
                <w:lang w:val="en-US"/>
              </w:rPr>
              <w:t xml:space="preserve"> 20, 2023 </w:t>
            </w:r>
          </w:p>
          <w:p w:rsidR="00A24187" w:rsidRPr="00A551A7" w:rsidRDefault="00A24187">
            <w:pPr>
              <w:ind w:left="4680"/>
              <w:rPr>
                <w:sz w:val="22"/>
                <w:szCs w:val="22"/>
                <w:lang w:val="en-US"/>
              </w:rPr>
            </w:pPr>
          </w:p>
          <w:p w:rsidR="00A24187" w:rsidRPr="00A551A7" w:rsidRDefault="00A24187">
            <w:pPr>
              <w:ind w:left="4680"/>
              <w:rPr>
                <w:sz w:val="22"/>
                <w:szCs w:val="22"/>
                <w:lang w:val="en-US"/>
              </w:rPr>
            </w:pPr>
          </w:p>
          <w:p w:rsidR="00A24187" w:rsidRPr="00A551A7" w:rsidRDefault="00A2418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24187" w:rsidRPr="00A551A7" w:rsidRDefault="00A551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51A7">
              <w:rPr>
                <w:b/>
                <w:sz w:val="22"/>
                <w:szCs w:val="22"/>
                <w:lang w:val="en-US"/>
              </w:rPr>
              <w:t xml:space="preserve"> PRICE LIST (</w:t>
            </w:r>
            <w:proofErr w:type="gramStart"/>
            <w:r w:rsidRPr="00A551A7">
              <w:rPr>
                <w:b/>
                <w:sz w:val="22"/>
                <w:szCs w:val="22"/>
                <w:lang w:val="en-US"/>
              </w:rPr>
              <w:t>TARIFFS)  No.</w:t>
            </w:r>
            <w:proofErr w:type="gramEnd"/>
            <w:r w:rsidRPr="00A551A7">
              <w:rPr>
                <w:b/>
                <w:sz w:val="22"/>
                <w:szCs w:val="22"/>
                <w:lang w:val="en-US"/>
              </w:rPr>
              <w:t xml:space="preserve"> 1 from March 27, 2023</w:t>
            </w:r>
          </w:p>
          <w:p w:rsidR="00A24187" w:rsidRPr="00A551A7" w:rsidRDefault="00A551A7">
            <w:pPr>
              <w:jc w:val="center"/>
              <w:rPr>
                <w:lang w:val="en-US"/>
              </w:rPr>
            </w:pPr>
            <w:r w:rsidRPr="00A551A7">
              <w:rPr>
                <w:sz w:val="22"/>
                <w:szCs w:val="22"/>
                <w:lang w:val="en-US"/>
              </w:rPr>
              <w:t xml:space="preserve"> </w:t>
            </w:r>
            <w:r w:rsidRPr="00A551A7">
              <w:rPr>
                <w:b/>
                <w:sz w:val="22"/>
                <w:szCs w:val="22"/>
                <w:lang w:val="en-US"/>
              </w:rPr>
              <w:t>for paid sanitary and epidemiological services</w:t>
            </w:r>
          </w:p>
          <w:p w:rsidR="00A24187" w:rsidRPr="00A551A7" w:rsidRDefault="00A551A7">
            <w:pPr>
              <w:jc w:val="center"/>
              <w:rPr>
                <w:lang w:val="en-US"/>
              </w:rPr>
            </w:pPr>
            <w:r w:rsidRPr="00A551A7">
              <w:rPr>
                <w:b/>
                <w:sz w:val="22"/>
                <w:szCs w:val="22"/>
                <w:lang w:val="en-US"/>
              </w:rPr>
              <w:t xml:space="preserve"> provided by the state institution</w:t>
            </w:r>
          </w:p>
          <w:p w:rsidR="00A24187" w:rsidRPr="00A551A7" w:rsidRDefault="00A551A7">
            <w:pPr>
              <w:jc w:val="center"/>
              <w:rPr>
                <w:lang w:val="en-US"/>
              </w:rPr>
            </w:pPr>
            <w:r w:rsidRPr="00A551A7">
              <w:rPr>
                <w:b/>
                <w:sz w:val="22"/>
                <w:szCs w:val="22"/>
                <w:lang w:val="en-US"/>
              </w:rPr>
              <w:t xml:space="preserve"> "Brest Zonal Center of Hygiene and </w:t>
            </w:r>
            <w:r w:rsidRPr="00A551A7">
              <w:rPr>
                <w:b/>
                <w:sz w:val="22"/>
                <w:szCs w:val="22"/>
                <w:lang w:val="en-US"/>
              </w:rPr>
              <w:t>Epidemiology"</w:t>
            </w:r>
            <w:r w:rsidRPr="00A551A7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24187">
        <w:trPr>
          <w:cantSplit/>
          <w:trHeight w:val="39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55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Non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Pr="00A551A7" w:rsidRDefault="00A551A7">
            <w:pPr>
              <w:jc w:val="center"/>
              <w:rPr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a Name of paid sanitary and epidemiological services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55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measurement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bottom"/>
          </w:tcPr>
          <w:p w:rsidR="00A24187" w:rsidRDefault="00A5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(TARIFF)</w:t>
            </w:r>
          </w:p>
        </w:tc>
      </w:tr>
      <w:tr w:rsidR="00A24187">
        <w:trPr>
          <w:cantSplit/>
          <w:trHeight w:val="696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4187" w:rsidRDefault="00A24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4187" w:rsidRDefault="00A24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4187" w:rsidRDefault="00A24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55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without</w:t>
            </w:r>
            <w:proofErr w:type="spellEnd"/>
            <w:r>
              <w:rPr>
                <w:sz w:val="20"/>
                <w:szCs w:val="20"/>
              </w:rPr>
              <w:t xml:space="preserve"> VAT, RUB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55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VAT, RUB</w:t>
            </w:r>
          </w:p>
        </w:tc>
      </w:tr>
      <w:tr w:rsidR="00A24187">
        <w:trPr>
          <w:trHeight w:val="374"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5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5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5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5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5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24187">
        <w:trPr>
          <w:trHeight w:val="374"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Sanitary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hygienic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24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24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24187" w:rsidRDefault="00A24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4187">
        <w:trPr>
          <w:trHeight w:val="377"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preparatory work for the implementation of </w:t>
            </w:r>
            <w:r w:rsidRPr="00A551A7">
              <w:rPr>
                <w:sz w:val="20"/>
                <w:szCs w:val="20"/>
                <w:lang w:val="en-US"/>
              </w:rPr>
              <w:t>sanitary and hygienic services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8.71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development and execution of the program of laboratory tests, tests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23.80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organization of work on laboratory tests, measurements,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document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document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23.41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sampling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samples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consultation by specialist doctors and other specialists with higher education on issues related to ensuring the sanitary and epidemiological welfare of the population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consultation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27,79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consultation by specialist doctors and other specialists with higher education on issues related to the formation of a healthy lifestyle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consultation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23,11</w:t>
            </w:r>
          </w:p>
        </w:tc>
      </w:tr>
      <w:tr w:rsidR="00A24187" w:rsidRPr="00A551A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providing consultative and methodological assistance: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2418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in determining the </w:t>
            </w:r>
            <w:r w:rsidRPr="00A551A7">
              <w:rPr>
                <w:sz w:val="20"/>
                <w:szCs w:val="20"/>
                <w:lang w:val="en-US"/>
              </w:rPr>
              <w:t>lists of professions (positions) of employees subject to periodic (during their employment) medical examinations (1 profession)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consultation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43,68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on conducting a comprehensive hygienic assessment of working conditions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consultation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29,11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on the placement and design of facilities in terms of ensuring the sanitary and epidemiological welfare of the population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consultation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in determining compliance with the requirements of legislation in the field of </w:t>
            </w:r>
            <w:r w:rsidRPr="00A551A7">
              <w:rPr>
                <w:sz w:val="20"/>
                <w:szCs w:val="20"/>
                <w:lang w:val="en-US"/>
              </w:rPr>
              <w:t>sanitary and epidemiological welfare of the population of works and services to which sanitary and epidemiological requirements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established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consultation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15.73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consultation 6,58 7,90 1.13. hygienic training of employees of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consultation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</w:tr>
      <w:tr w:rsidR="00A24187" w:rsidRPr="00A551A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organizations, individual entrepreneurs and their employees, the need for which is determined by the current legislation: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2418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organization and conduct of classes (1 topic)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11.95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conducting a knowledge </w:t>
            </w:r>
            <w:r w:rsidRPr="00A551A7">
              <w:rPr>
                <w:sz w:val="20"/>
                <w:szCs w:val="20"/>
                <w:lang w:val="en-US"/>
              </w:rPr>
              <w:t>assessment (for one student)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rating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conducting seminars, trainings, practical skills development on ensuring the sanitary and epidemiological well-being of the population (per application)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seminar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training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lesson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17.14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conducting a sanitary and epidemiological audit and issuing recommendations for improving the activities of organizations and individuals, including individual entrepreneurs, and compliance with the requirements of the Legislation of the Russian Federation</w:t>
            </w:r>
            <w:r w:rsidRPr="00A551A7">
              <w:rPr>
                <w:sz w:val="20"/>
                <w:szCs w:val="20"/>
                <w:lang w:val="en-US"/>
              </w:rPr>
              <w:t>. requirements of the legislation in the field of sanitary and epidemiological welfare of the population (according to one application)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37,03</w:t>
            </w:r>
          </w:p>
        </w:tc>
      </w:tr>
      <w:tr w:rsidR="00A24187" w:rsidRPr="00A551A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conducting an assessment of the risk to public health of the influence of human habitat </w:t>
            </w:r>
            <w:r w:rsidRPr="00A551A7">
              <w:rPr>
                <w:sz w:val="20"/>
                <w:szCs w:val="20"/>
                <w:lang w:val="en-US"/>
              </w:rPr>
              <w:t>factors: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2418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public health risk assessment due to air pollution (per substance)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223.22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267.86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assessment of public health risk from noise exposure in populated areas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264.82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317.78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assessment of public health </w:t>
            </w:r>
            <w:r w:rsidRPr="00A551A7">
              <w:rPr>
                <w:sz w:val="20"/>
                <w:szCs w:val="20"/>
                <w:lang w:val="en-US"/>
              </w:rPr>
              <w:t>risk from exposure to electromagnetic fields generated by cellular mobile telecommunications and broadband wireless access base stations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264.82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317.78</w:t>
            </w:r>
          </w:p>
        </w:tc>
      </w:tr>
      <w:tr w:rsidR="00A24187" w:rsidRPr="00A551A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sanitary and epidemiological survey (assessment) of facilities: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2418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survey </w:t>
            </w:r>
            <w:r w:rsidRPr="00A551A7">
              <w:rPr>
                <w:sz w:val="20"/>
                <w:szCs w:val="20"/>
                <w:lang w:val="en-US"/>
              </w:rPr>
              <w:t>(assessment) of retail spaces in markets, small-scale retail network facilities (kiosks, stalls) with up to 3 employees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survey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42.07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survey (assessment) of motor vehicles engaged in the transportation of food, ionizing radiation</w:t>
            </w:r>
            <w:r w:rsidRPr="00A551A7">
              <w:rPr>
                <w:sz w:val="20"/>
                <w:szCs w:val="20"/>
                <w:lang w:val="en-US"/>
              </w:rPr>
              <w:t xml:space="preserve"> sources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survey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39.46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survey (assessment workshops, enterprises and other objects with up to 10 employees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survey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57.88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survey (assessment) of workshops, enterprises and other objects with 11-50 </w:t>
            </w:r>
            <w:r w:rsidRPr="00A551A7">
              <w:rPr>
                <w:sz w:val="20"/>
                <w:szCs w:val="20"/>
                <w:lang w:val="en-US"/>
              </w:rPr>
              <w:t>employees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survey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65.78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78.94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survey (assessment) of workshops, enterprises and other objects with 51-100 employees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survey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score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78.93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94.72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survey (assessment) of workshops, enterprises and other objects with the number of </w:t>
            </w:r>
            <w:r w:rsidRPr="00A551A7">
              <w:rPr>
                <w:sz w:val="20"/>
                <w:szCs w:val="20"/>
                <w:lang w:val="en-US"/>
              </w:rPr>
              <w:t>employees 101-300 people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survey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110.51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survey (assessment) of workshops, enterprises and other objects with the number of employees 301-500 people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survey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126.28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survey (assessment) of workshops, </w:t>
            </w:r>
            <w:r w:rsidRPr="00A551A7">
              <w:rPr>
                <w:sz w:val="20"/>
                <w:szCs w:val="20"/>
                <w:lang w:val="en-US"/>
              </w:rPr>
              <w:t>enterprises and other objects with the number of employees working 501-1000 people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survey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118.39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142.07</w:t>
            </w:r>
          </w:p>
        </w:tc>
      </w:tr>
      <w:tr w:rsidR="00A24187">
        <w:trPr>
          <w:trHeight w:val="38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survey (assessment) of workshops, enterprises and other facilities with more than 1000 employees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survey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157.90</w:t>
            </w: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study and assessment of the possibility of placing a construction object at the pre-project stage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93.73</w:t>
            </w:r>
          </w:p>
        </w:tc>
      </w:tr>
      <w:tr w:rsidR="00A24187" w:rsidRPr="00A551A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comprehensive hygienic assessment of working conditions: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2418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2418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widowControl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conducting a comprehensive hygienic assessment of </w:t>
            </w:r>
            <w:r w:rsidRPr="00A551A7">
              <w:rPr>
                <w:sz w:val="20"/>
                <w:szCs w:val="20"/>
                <w:lang w:val="en-US"/>
              </w:rPr>
              <w:t xml:space="preserve">the results of the state of working conditions based on laboratory </w:t>
            </w:r>
            <w:r w:rsidRPr="00A551A7">
              <w:rPr>
                <w:sz w:val="20"/>
                <w:szCs w:val="20"/>
                <w:lang w:val="en-US"/>
              </w:rPr>
              <w:lastRenderedPageBreak/>
              <w:t>studies and measurements of factors of the industrial environment and psychophysiological features of the labor process (1 profession without laboratory studies and assessment of working co</w:t>
            </w:r>
            <w:r w:rsidRPr="00A551A7">
              <w:rPr>
                <w:sz w:val="20"/>
                <w:szCs w:val="20"/>
                <w:lang w:val="en-US"/>
              </w:rPr>
              <w:t>nditions by the severity and intensity of the labor process)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assessment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60,66</w:t>
            </w:r>
          </w:p>
        </w:tc>
      </w:tr>
      <w:tr w:rsidR="00A24187" w:rsidRPr="00A551A7">
        <w:trPr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1.21.2.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assessment of psychophysiological factors of the production environment: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2418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1.21.2.1.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the severity of the labor process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85.02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1.21.2.2.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the </w:t>
            </w:r>
            <w:r w:rsidRPr="00A551A7">
              <w:rPr>
                <w:sz w:val="20"/>
                <w:szCs w:val="20"/>
                <w:lang w:val="en-US"/>
              </w:rPr>
              <w:t>intensity of the labor process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85.02</w:t>
            </w:r>
          </w:p>
        </w:tc>
      </w:tr>
      <w:tr w:rsidR="00A24187" w:rsidRPr="00A551A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Measurements (studies) of physical factors of the environment and production environment: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2418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Pr="00A551A7" w:rsidRDefault="00A24187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measurement of the electric or magnetic component of the electromagnetic field in the radio </w:t>
            </w:r>
            <w:r w:rsidRPr="00A551A7">
              <w:rPr>
                <w:sz w:val="20"/>
                <w:szCs w:val="20"/>
                <w:lang w:val="en-US"/>
              </w:rPr>
              <w:t>frequency range up to 300 MHz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measurement of natural or artificial light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measurement of temperature or relative humidity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measurement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velocity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measurement of </w:t>
            </w:r>
            <w:r w:rsidRPr="00A551A7">
              <w:rPr>
                <w:sz w:val="20"/>
                <w:szCs w:val="20"/>
                <w:lang w:val="en-US"/>
              </w:rPr>
              <w:t>sound level, sound pressure levels in octaves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50.51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measurement of equivalent and maximum sound levels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56.72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measurement of corrected and spectral vibration levels in octave (third-octave) frequency bands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50.55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60.66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measurement of equivalent total sound level in DBMS, equivalent sound pressure levels in octave frequency bands of non-constant infrasound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45.30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measurement of the total sound level in DBL, sound pressure levels in </w:t>
            </w:r>
            <w:r w:rsidRPr="00A551A7">
              <w:rPr>
                <w:sz w:val="20"/>
                <w:szCs w:val="20"/>
                <w:lang w:val="en-US"/>
              </w:rPr>
              <w:t>octave frequency bands of constant infrasound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45.30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registration of the protocol of studies (measurements)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measurements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24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2418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2418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dosimetric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24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2418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2418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measurement of the dose rate of</w:t>
            </w:r>
            <w:r w:rsidRPr="00A551A7">
              <w:rPr>
                <w:sz w:val="20"/>
                <w:szCs w:val="20"/>
                <w:lang w:val="en-US"/>
              </w:rPr>
              <w:t xml:space="preserve"> gamma radiation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measurement of the dose rate of X-ray radiation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registration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results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24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2418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2418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>registration of the primary report (protocol) of tests, studies, measurements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</w:t>
            </w:r>
          </w:p>
        </w:tc>
      </w:tr>
      <w:tr w:rsidR="00A24187">
        <w:trPr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Pr="00A551A7" w:rsidRDefault="00A551A7">
            <w:pPr>
              <w:rPr>
                <w:sz w:val="20"/>
                <w:szCs w:val="20"/>
                <w:lang w:val="en-US"/>
              </w:rPr>
            </w:pPr>
            <w:r w:rsidRPr="00A551A7">
              <w:rPr>
                <w:sz w:val="20"/>
                <w:szCs w:val="20"/>
                <w:lang w:val="en-US"/>
              </w:rPr>
              <w:t xml:space="preserve">registration of the protocol of tests, studies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187" w:rsidRDefault="00A551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A24187" w:rsidRDefault="00A551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8.92</w:t>
            </w:r>
          </w:p>
        </w:tc>
      </w:tr>
    </w:tbl>
    <w:p w:rsidR="00A24187" w:rsidRDefault="00A24187">
      <w:pPr>
        <w:ind w:left="-900" w:firstLine="900"/>
        <w:rPr>
          <w:color w:val="FF0000"/>
        </w:rPr>
      </w:pPr>
    </w:p>
    <w:p w:rsidR="00A24187" w:rsidRDefault="00A24187">
      <w:pPr>
        <w:ind w:left="-900" w:firstLine="900"/>
        <w:rPr>
          <w:color w:val="FF0000"/>
        </w:rPr>
      </w:pPr>
    </w:p>
    <w:p w:rsidR="00A24187" w:rsidRDefault="00A551A7">
      <w:pPr>
        <w:ind w:left="-900" w:firstLine="900"/>
      </w:pPr>
      <w:proofErr w:type="spellStart"/>
      <w:r>
        <w:lastRenderedPageBreak/>
        <w:t>Chief</w:t>
      </w:r>
      <w:proofErr w:type="spellEnd"/>
      <w:r>
        <w:t xml:space="preserve"> </w:t>
      </w:r>
      <w:proofErr w:type="spellStart"/>
      <w:r>
        <w:t>Accountant</w:t>
      </w:r>
      <w:proofErr w:type="spellEnd"/>
      <w:r>
        <w:t xml:space="preserve"> D. N. </w:t>
      </w:r>
      <w:proofErr w:type="spellStart"/>
      <w:r>
        <w:t>Trutsyk</w:t>
      </w:r>
      <w:proofErr w:type="spellEnd"/>
    </w:p>
    <w:p w:rsidR="00A24187" w:rsidRDefault="00A24187">
      <w:pPr>
        <w:ind w:left="-900" w:firstLine="900"/>
      </w:pPr>
    </w:p>
    <w:p w:rsidR="00A24187" w:rsidRDefault="00A24187">
      <w:pPr>
        <w:ind w:left="-900" w:firstLine="900"/>
      </w:pPr>
    </w:p>
    <w:p w:rsidR="00A24187" w:rsidRDefault="00A551A7">
      <w:pPr>
        <w:ind w:left="-900" w:firstLine="900"/>
      </w:pPr>
      <w:proofErr w:type="spellStart"/>
      <w:r>
        <w:t>Chief</w:t>
      </w:r>
      <w:proofErr w:type="spellEnd"/>
      <w:r>
        <w:t xml:space="preserve"> </w:t>
      </w:r>
      <w:proofErr w:type="spellStart"/>
      <w:r>
        <w:t>Economist</w:t>
      </w:r>
      <w:proofErr w:type="spellEnd"/>
      <w:r>
        <w:t xml:space="preserve"> I. S. </w:t>
      </w:r>
      <w:proofErr w:type="spellStart"/>
      <w:r>
        <w:t>Olekhnovich</w:t>
      </w:r>
      <w:proofErr w:type="spellEnd"/>
    </w:p>
    <w:sectPr w:rsidR="00A24187">
      <w:pgSz w:w="11906" w:h="16838"/>
      <w:pgMar w:top="567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187"/>
    <w:rsid w:val="00A24187"/>
    <w:rsid w:val="00A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E7EE"/>
  <w15:docId w15:val="{9484DED7-6C2D-400F-89FB-6AC875F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2023-03-24T07:24:00Z</dcterms:created>
  <dcterms:modified xsi:type="dcterms:W3CDTF">2023-03-24T07:25:00Z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2018-12-26T12:02:00Z</dcterms:created>
  <dc:creator>Yandex.Translate</dc:creator>
  <dc:description>Translated with Yandex.Translate</dc:description>
  <dc:language>en-US</dc:language>
  <cp:lastModifiedBy>Пользователь</cp:lastModifiedBy>
  <cp:lastPrinted>2020-12-28T10:42:00Z</cp:lastPrinted>
  <dcterms:modified xsi:type="dcterms:W3CDTF">2023-03-21T13:54:00Z</dcterms:modified>
  <cp:revision>141</cp:revision>
  <dc:subject/>
  <dc:title>УТВЕРЖДАЮ</dc:title>
</cp:coreProperties>
</file>